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D796" w14:textId="507E926D" w:rsidR="00622FA2" w:rsidRDefault="00622FA2" w:rsidP="00622FA2">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110-bis</w:t>
      </w:r>
      <w:r>
        <w:rPr>
          <w:rFonts w:asciiTheme="minorHAnsi" w:hAnsiTheme="minorHAnsi" w:cstheme="minorHAnsi"/>
          <w:bCs/>
          <w:noProof w:val="0"/>
          <w:sz w:val="24"/>
          <w:szCs w:val="24"/>
          <w:lang w:eastAsia="zh-CN"/>
        </w:rPr>
        <w:tab/>
        <w:t>R4-24</w:t>
      </w:r>
      <w:r w:rsidR="00F31046">
        <w:rPr>
          <w:rFonts w:asciiTheme="minorHAnsi" w:hAnsiTheme="minorHAnsi" w:cstheme="minorHAnsi"/>
          <w:bCs/>
          <w:noProof w:val="0"/>
          <w:sz w:val="24"/>
          <w:szCs w:val="24"/>
          <w:lang w:eastAsia="zh-CN"/>
        </w:rPr>
        <w:t>04490</w:t>
      </w:r>
    </w:p>
    <w:p w14:paraId="06F26465" w14:textId="77777777" w:rsidR="00622FA2" w:rsidRDefault="00622FA2" w:rsidP="00622FA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Changsha, Hunan Province, CN, Apr 15 – Apr 19, 2024</w:t>
      </w:r>
    </w:p>
    <w:bookmarkEnd w:id="0"/>
    <w:p w14:paraId="1C02346F" w14:textId="3ADA0B52" w:rsidR="00622FA2" w:rsidRDefault="00622FA2" w:rsidP="00622FA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D84C82">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.3.3</w:t>
      </w:r>
      <w:r w:rsidR="00D84C82">
        <w:rPr>
          <w:rFonts w:asciiTheme="minorHAnsi" w:eastAsiaTheme="minorEastAsia" w:hAnsiTheme="minorHAnsi" w:cstheme="minorHAnsi"/>
          <w:bCs/>
          <w:noProof w:val="0"/>
          <w:sz w:val="24"/>
          <w:szCs w:val="24"/>
          <w:lang w:eastAsia="zh-CN"/>
        </w:rPr>
        <w:t>.2</w:t>
      </w:r>
    </w:p>
    <w:p w14:paraId="01DCADA8" w14:textId="77777777"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3EE6C2B5"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C5644E">
        <w:rPr>
          <w:rFonts w:asciiTheme="minorHAnsi" w:eastAsiaTheme="minorEastAsia" w:hAnsiTheme="minorHAnsi" w:cstheme="minorHAnsi"/>
          <w:bCs/>
          <w:noProof w:val="0"/>
          <w:sz w:val="24"/>
          <w:szCs w:val="24"/>
          <w:lang w:eastAsia="zh-CN"/>
        </w:rPr>
        <w:t>Discussion on</w:t>
      </w:r>
      <w:r>
        <w:rPr>
          <w:rFonts w:asciiTheme="minorHAnsi" w:eastAsiaTheme="minorEastAsia" w:hAnsiTheme="minorHAnsi" w:cstheme="minorHAnsi"/>
          <w:bCs/>
          <w:noProof w:val="0"/>
          <w:sz w:val="24"/>
          <w:szCs w:val="24"/>
          <w:lang w:eastAsia="zh-CN"/>
        </w:rPr>
        <w:t xml:space="preserve"> </w:t>
      </w:r>
      <w:r w:rsidR="00D84C82">
        <w:rPr>
          <w:rFonts w:asciiTheme="minorHAnsi" w:eastAsiaTheme="minorEastAsia" w:hAnsiTheme="minorHAnsi" w:cstheme="minorHAnsi"/>
          <w:bCs/>
          <w:noProof w:val="0"/>
          <w:sz w:val="24"/>
          <w:szCs w:val="24"/>
          <w:lang w:eastAsia="zh-CN"/>
        </w:rPr>
        <w:t>accuracy requirement</w:t>
      </w:r>
      <w:r w:rsidR="007372E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for multi-Rx</w:t>
      </w:r>
      <w:r w:rsidRPr="00C5644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UEs</w:t>
      </w:r>
    </w:p>
    <w:p w14:paraId="66AAD5BC" w14:textId="093143A9" w:rsidR="0034111C" w:rsidRPr="00C8620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37244F22" w:rsidR="0028162D" w:rsidRPr="00A87120" w:rsidRDefault="00A87120" w:rsidP="006F6F58">
      <w:pPr>
        <w:jc w:val="both"/>
        <w:rPr>
          <w:rFonts w:eastAsia="新細明體" w:cstheme="minorHAnsi"/>
          <w:szCs w:val="24"/>
        </w:rPr>
      </w:pPr>
      <w:r>
        <w:rPr>
          <w:rFonts w:eastAsia="新細明體" w:cstheme="minorHAnsi"/>
          <w:szCs w:val="24"/>
        </w:rPr>
        <w:t>According to WF [1]</w:t>
      </w:r>
      <w:r w:rsidRPr="003E20BE">
        <w:rPr>
          <w:rFonts w:eastAsia="新細明體" w:cstheme="minorHAnsi"/>
          <w:szCs w:val="24"/>
        </w:rPr>
        <w:t>,</w:t>
      </w:r>
      <w:r>
        <w:rPr>
          <w:rFonts w:eastAsia="新細明體" w:cstheme="minorHAnsi"/>
          <w:szCs w:val="24"/>
        </w:rPr>
        <w:t xml:space="preserve"> there</w:t>
      </w:r>
      <w:r w:rsidR="00712F91">
        <w:rPr>
          <w:rFonts w:eastAsia="新細明體" w:cstheme="minorHAnsi"/>
          <w:szCs w:val="24"/>
        </w:rPr>
        <w:t xml:space="preserve"> is still an</w:t>
      </w:r>
      <w:r w:rsidR="000740FF">
        <w:rPr>
          <w:rFonts w:eastAsia="新細明體" w:cstheme="minorHAnsi"/>
          <w:szCs w:val="24"/>
        </w:rPr>
        <w:t xml:space="preserve"> open </w:t>
      </w:r>
      <w:r>
        <w:rPr>
          <w:rFonts w:eastAsia="新細明體" w:cstheme="minorHAnsi"/>
          <w:szCs w:val="24"/>
        </w:rPr>
        <w:t>issue</w:t>
      </w:r>
      <w:r w:rsidR="000740FF">
        <w:rPr>
          <w:rFonts w:eastAsia="新細明體" w:cstheme="minorHAnsi"/>
          <w:szCs w:val="24"/>
        </w:rPr>
        <w:t xml:space="preserve"> about </w:t>
      </w:r>
      <w:r w:rsidR="00712F91">
        <w:rPr>
          <w:rFonts w:eastAsia="新細明體" w:cstheme="minorHAnsi"/>
          <w:szCs w:val="24"/>
        </w:rPr>
        <w:t>measurement accuracy</w:t>
      </w:r>
      <w:r w:rsidR="000740FF">
        <w:rPr>
          <w:rFonts w:eastAsia="新細明體" w:cstheme="minorHAnsi"/>
          <w:szCs w:val="24"/>
        </w:rPr>
        <w:t xml:space="preserve"> for multi-RX</w:t>
      </w:r>
      <w:r>
        <w:rPr>
          <w:rFonts w:eastAsia="新細明體" w:cstheme="minorHAnsi"/>
          <w:szCs w:val="24"/>
        </w:rPr>
        <w:t>.</w:t>
      </w:r>
      <w:r w:rsidR="008410F3">
        <w:rPr>
          <w:rFonts w:eastAsia="新細明體" w:cstheme="minorHAnsi"/>
          <w:szCs w:val="24"/>
        </w:rPr>
        <w:t xml:space="preserve"> In this paper, we provide our views</w:t>
      </w:r>
      <w:r w:rsidR="00B41ED9">
        <w:rPr>
          <w:rFonts w:eastAsia="新細明體" w:cstheme="minorHAnsi"/>
          <w:szCs w:val="24"/>
        </w:rPr>
        <w:t>.</w:t>
      </w:r>
    </w:p>
    <w:p w14:paraId="3CA86362" w14:textId="7F0B84D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E73A6C2" w14:textId="52F3B64B" w:rsidR="008F40F5" w:rsidRPr="00030833" w:rsidRDefault="004C2780" w:rsidP="00030833">
      <w:pPr>
        <w:pStyle w:val="Heading2"/>
        <w:spacing w:before="100" w:beforeAutospacing="1" w:after="100" w:afterAutospacing="1"/>
        <w:ind w:left="0" w:firstLine="0"/>
        <w:jc w:val="both"/>
        <w:rPr>
          <w:rFonts w:asciiTheme="minorHAnsi" w:eastAsia="新細明體" w:hAnsiTheme="minorHAnsi" w:cstheme="minorHAnsi"/>
          <w:szCs w:val="32"/>
          <w:lang w:eastAsia="zh-TW"/>
        </w:rPr>
      </w:pPr>
      <w:bookmarkStart w:id="2" w:name="OLE_LINK1"/>
      <w:r w:rsidRPr="00923E98">
        <w:rPr>
          <w:rFonts w:asciiTheme="minorHAnsi" w:hAnsiTheme="minorHAnsi" w:cstheme="minorHAnsi"/>
          <w:szCs w:val="32"/>
        </w:rPr>
        <w:t xml:space="preserve">2.1 </w:t>
      </w:r>
      <w:r w:rsidR="00FE1D91">
        <w:rPr>
          <w:rFonts w:asciiTheme="minorHAnsi" w:hAnsiTheme="minorHAnsi" w:cstheme="minorHAnsi"/>
          <w:szCs w:val="32"/>
        </w:rPr>
        <w:t>Accuracy requirements</w:t>
      </w:r>
      <w:r w:rsidR="000740FF">
        <w:rPr>
          <w:rFonts w:asciiTheme="minorHAnsi" w:eastAsia="新細明體" w:hAnsiTheme="minorHAnsi" w:cstheme="minorHAnsi"/>
          <w:szCs w:val="32"/>
          <w:lang w:eastAsia="zh-TW"/>
        </w:rPr>
        <w:t xml:space="preserve"> for multi-RX</w:t>
      </w:r>
      <w:bookmarkEnd w:id="2"/>
    </w:p>
    <w:tbl>
      <w:tblPr>
        <w:tblStyle w:val="TableGrid"/>
        <w:tblW w:w="0" w:type="auto"/>
        <w:tblLook w:val="04A0" w:firstRow="1" w:lastRow="0" w:firstColumn="1" w:lastColumn="0" w:noHBand="0" w:noVBand="1"/>
      </w:tblPr>
      <w:tblGrid>
        <w:gridCol w:w="9629"/>
      </w:tblGrid>
      <w:tr w:rsidR="008F40F5" w:rsidRPr="008148C7" w14:paraId="5BDB105B" w14:textId="77777777" w:rsidTr="00EF209A">
        <w:tc>
          <w:tcPr>
            <w:tcW w:w="9629" w:type="dxa"/>
            <w:tcBorders>
              <w:top w:val="single" w:sz="4" w:space="0" w:color="auto"/>
              <w:left w:val="single" w:sz="4" w:space="0" w:color="auto"/>
              <w:bottom w:val="single" w:sz="4" w:space="0" w:color="auto"/>
              <w:right w:val="single" w:sz="4" w:space="0" w:color="auto"/>
            </w:tcBorders>
          </w:tcPr>
          <w:p w14:paraId="199913DB" w14:textId="77777777" w:rsidR="008F40F5" w:rsidRPr="000740FF" w:rsidRDefault="008F40F5" w:rsidP="00EF209A">
            <w:pPr>
              <w:pStyle w:val="Heading3"/>
              <w:spacing w:before="0" w:after="0"/>
              <w:ind w:left="0" w:firstLine="0"/>
              <w:rPr>
                <w:sz w:val="20"/>
              </w:rPr>
            </w:pPr>
            <w:r w:rsidRPr="000740FF">
              <w:rPr>
                <w:sz w:val="20"/>
              </w:rPr>
              <w:t>Accuracy requirements</w:t>
            </w:r>
          </w:p>
          <w:p w14:paraId="209B78ED" w14:textId="77777777" w:rsidR="008F40F5" w:rsidRPr="00657A44" w:rsidRDefault="008F40F5" w:rsidP="00EF209A">
            <w:pPr>
              <w:widowControl/>
              <w:spacing w:after="180"/>
              <w:rPr>
                <w:rFonts w:ascii="Times New Roman" w:eastAsia="新細明體" w:hAnsi="Times New Roman" w:cs="Times New Roman"/>
                <w:color w:val="000000"/>
                <w:kern w:val="0"/>
                <w:sz w:val="20"/>
                <w:szCs w:val="20"/>
                <w:lang w:val="en-GB"/>
              </w:rPr>
            </w:pPr>
            <w:r w:rsidRPr="00657A44">
              <w:rPr>
                <w:rFonts w:ascii="Times New Roman" w:eastAsia="新細明體" w:hAnsi="Times New Roman" w:cs="Times New Roman"/>
                <w:b/>
                <w:bCs/>
                <w:color w:val="000000"/>
                <w:kern w:val="0"/>
                <w:sz w:val="20"/>
                <w:szCs w:val="20"/>
                <w:u w:val="single"/>
                <w:lang w:val="en-GB"/>
              </w:rPr>
              <w:t>Issue 2-10: Accuracy requirements for multi-Rx in Rel-18</w:t>
            </w:r>
          </w:p>
          <w:p w14:paraId="077AD0B3" w14:textId="77777777" w:rsidR="008F40F5" w:rsidRPr="00657A44" w:rsidRDefault="008F40F5" w:rsidP="00EF209A">
            <w:pPr>
              <w:widowControl/>
              <w:spacing w:after="120"/>
              <w:rPr>
                <w:rFonts w:ascii="Times New Roman" w:eastAsia="新細明體" w:hAnsi="Times New Roman" w:cs="Times New Roman"/>
                <w:color w:val="000000"/>
                <w:kern w:val="0"/>
                <w:sz w:val="20"/>
                <w:szCs w:val="20"/>
                <w:lang w:val="en-GB"/>
              </w:rPr>
            </w:pPr>
            <w:r w:rsidRPr="00657A44">
              <w:rPr>
                <w:rFonts w:ascii="Times New Roman" w:eastAsia="新細明體" w:hAnsi="Times New Roman" w:cs="Times New Roman"/>
                <w:color w:val="000000"/>
                <w:kern w:val="0"/>
                <w:sz w:val="20"/>
                <w:szCs w:val="20"/>
                <w:lang w:val="en-GB"/>
              </w:rPr>
              <w:t>FFS following options</w:t>
            </w:r>
          </w:p>
          <w:p w14:paraId="0DA52A23" w14:textId="77777777" w:rsidR="008F40F5" w:rsidRPr="00657A44" w:rsidRDefault="008F40F5" w:rsidP="00EF209A">
            <w:pPr>
              <w:widowControl/>
              <w:numPr>
                <w:ilvl w:val="0"/>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 xml:space="preserve">Option 1a: </w:t>
            </w:r>
          </w:p>
          <w:p w14:paraId="144E42A8" w14:textId="77777777" w:rsidR="008F40F5" w:rsidRPr="00657A44" w:rsidRDefault="008F40F5" w:rsidP="00EF209A">
            <w:pPr>
              <w:widowControl/>
              <w:numPr>
                <w:ilvl w:val="1"/>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The legacy accuracy requirements for L1-RSRP measurement apply for L1-RSRP measurements with group-based beam reporting.</w:t>
            </w:r>
          </w:p>
          <w:p w14:paraId="195FD484" w14:textId="77777777" w:rsidR="008F40F5" w:rsidRPr="00657A44" w:rsidRDefault="008F40F5" w:rsidP="00EF209A">
            <w:pPr>
              <w:widowControl/>
              <w:numPr>
                <w:ilvl w:val="0"/>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 xml:space="preserve">Option 1b: </w:t>
            </w:r>
          </w:p>
          <w:p w14:paraId="0C68893F" w14:textId="77777777" w:rsidR="008F40F5" w:rsidRPr="00657A44" w:rsidRDefault="008F40F5" w:rsidP="00EF209A">
            <w:pPr>
              <w:widowControl/>
              <w:numPr>
                <w:ilvl w:val="1"/>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The legacy accuracy requirements in section 10.1.20 of TS 38.133 apply for L1-RSRP measurements under multi-</w:t>
            </w:r>
            <w:proofErr w:type="spellStart"/>
            <w:r w:rsidRPr="00657A44">
              <w:rPr>
                <w:rFonts w:ascii="Times New Roman" w:eastAsia="新細明體" w:hAnsi="Times New Roman" w:cs="Times New Roman"/>
                <w:color w:val="000000"/>
                <w:kern w:val="0"/>
                <w:sz w:val="20"/>
                <w:szCs w:val="20"/>
                <w:lang w:val="en-GB"/>
              </w:rPr>
              <w:t>rx</w:t>
            </w:r>
            <w:proofErr w:type="spellEnd"/>
            <w:r w:rsidRPr="00657A44">
              <w:rPr>
                <w:rFonts w:ascii="Times New Roman" w:eastAsia="新細明體" w:hAnsi="Times New Roman" w:cs="Times New Roman"/>
                <w:color w:val="000000"/>
                <w:kern w:val="0"/>
                <w:sz w:val="20"/>
                <w:szCs w:val="20"/>
                <w:lang w:val="en-GB"/>
              </w:rPr>
              <w:t xml:space="preserve"> operation, with a clarification that multi-</w:t>
            </w:r>
            <w:proofErr w:type="spellStart"/>
            <w:r w:rsidRPr="00657A44">
              <w:rPr>
                <w:rFonts w:ascii="Times New Roman" w:eastAsia="新細明體" w:hAnsi="Times New Roman" w:cs="Times New Roman"/>
                <w:color w:val="000000"/>
                <w:kern w:val="0"/>
                <w:sz w:val="20"/>
                <w:szCs w:val="20"/>
                <w:lang w:val="en-GB"/>
              </w:rPr>
              <w:t>rx</w:t>
            </w:r>
            <w:proofErr w:type="spellEnd"/>
            <w:r w:rsidRPr="00657A44">
              <w:rPr>
                <w:rFonts w:ascii="Times New Roman" w:eastAsia="新細明體" w:hAnsi="Times New Roman" w:cs="Times New Roman"/>
                <w:color w:val="000000"/>
                <w:kern w:val="0"/>
                <w:sz w:val="20"/>
                <w:szCs w:val="20"/>
                <w:lang w:val="en-GB"/>
              </w:rPr>
              <w:t xml:space="preserve"> chain L1-RSRP accuracy requirements apply for FR2-1.</w:t>
            </w:r>
          </w:p>
          <w:p w14:paraId="2165FFB1" w14:textId="77777777" w:rsidR="008F40F5" w:rsidRPr="00657A44" w:rsidRDefault="008F40F5" w:rsidP="00EF209A">
            <w:pPr>
              <w:widowControl/>
              <w:numPr>
                <w:ilvl w:val="1"/>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No new accuracy requirements section is created for L1-RSRP measurements under multi-</w:t>
            </w:r>
            <w:proofErr w:type="spellStart"/>
            <w:r w:rsidRPr="00657A44">
              <w:rPr>
                <w:rFonts w:ascii="Times New Roman" w:eastAsia="新細明體" w:hAnsi="Times New Roman" w:cs="Times New Roman"/>
                <w:color w:val="000000"/>
                <w:kern w:val="0"/>
                <w:sz w:val="20"/>
                <w:szCs w:val="20"/>
                <w:lang w:val="en-GB"/>
              </w:rPr>
              <w:t>rx</w:t>
            </w:r>
            <w:proofErr w:type="spellEnd"/>
            <w:r w:rsidRPr="00657A44">
              <w:rPr>
                <w:rFonts w:ascii="Times New Roman" w:eastAsia="新細明體" w:hAnsi="Times New Roman" w:cs="Times New Roman"/>
                <w:color w:val="000000"/>
                <w:kern w:val="0"/>
                <w:sz w:val="20"/>
                <w:szCs w:val="20"/>
                <w:lang w:val="en-GB"/>
              </w:rPr>
              <w:t xml:space="preserve"> operation.</w:t>
            </w:r>
          </w:p>
          <w:p w14:paraId="610EFFEB" w14:textId="77777777" w:rsidR="008F40F5" w:rsidRPr="00657A44" w:rsidRDefault="008F40F5" w:rsidP="00EF209A">
            <w:pPr>
              <w:widowControl/>
              <w:numPr>
                <w:ilvl w:val="0"/>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 xml:space="preserve">Option 1c: </w:t>
            </w:r>
          </w:p>
          <w:p w14:paraId="177CB350" w14:textId="77777777" w:rsidR="008F40F5" w:rsidRPr="00657A44" w:rsidRDefault="008F40F5" w:rsidP="00EF209A">
            <w:pPr>
              <w:widowControl/>
              <w:numPr>
                <w:ilvl w:val="1"/>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Under multi-Rx chain DL reception scenario, the legacy accuracy requirements for L1-RSRP measurement should be satisfied for both Rx chains.</w:t>
            </w:r>
          </w:p>
          <w:p w14:paraId="25F7CED8" w14:textId="77777777" w:rsidR="008F40F5" w:rsidRPr="00657A44" w:rsidRDefault="008F40F5" w:rsidP="00EF209A">
            <w:pPr>
              <w:widowControl/>
              <w:numPr>
                <w:ilvl w:val="1"/>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In this sense, no new accuracy requirements section is created for L1-RSRP measurements under multi-</w:t>
            </w:r>
            <w:proofErr w:type="spellStart"/>
            <w:r w:rsidRPr="00657A44">
              <w:rPr>
                <w:rFonts w:ascii="Times New Roman" w:eastAsia="新細明體" w:hAnsi="Times New Roman" w:cs="Times New Roman"/>
                <w:color w:val="000000"/>
                <w:kern w:val="0"/>
                <w:sz w:val="20"/>
                <w:szCs w:val="20"/>
                <w:lang w:val="en-GB"/>
              </w:rPr>
              <w:t>rx</w:t>
            </w:r>
            <w:proofErr w:type="spellEnd"/>
            <w:r w:rsidRPr="00657A44">
              <w:rPr>
                <w:rFonts w:ascii="Times New Roman" w:eastAsia="新細明體" w:hAnsi="Times New Roman" w:cs="Times New Roman"/>
                <w:color w:val="000000"/>
                <w:kern w:val="0"/>
                <w:sz w:val="20"/>
                <w:szCs w:val="20"/>
                <w:lang w:val="en-GB"/>
              </w:rPr>
              <w:t xml:space="preserve"> operation</w:t>
            </w:r>
          </w:p>
          <w:p w14:paraId="2EC6F296" w14:textId="77777777" w:rsidR="008F40F5" w:rsidRPr="00657A44" w:rsidRDefault="008F40F5" w:rsidP="00EF209A">
            <w:pPr>
              <w:widowControl/>
              <w:numPr>
                <w:ilvl w:val="0"/>
                <w:numId w:val="6"/>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Option 2:</w:t>
            </w:r>
          </w:p>
          <w:p w14:paraId="21552E39" w14:textId="77777777" w:rsidR="008F40F5" w:rsidRPr="00657A44" w:rsidRDefault="008F40F5" w:rsidP="00EF209A">
            <w:pPr>
              <w:widowControl/>
              <w:numPr>
                <w:ilvl w:val="1"/>
                <w:numId w:val="6"/>
              </w:numPr>
              <w:textAlignment w:val="center"/>
              <w:rPr>
                <w:rFonts w:ascii="Calibri" w:eastAsia="新細明體" w:hAnsi="Calibri" w:cs="Calibri"/>
                <w:color w:val="000000"/>
                <w:kern w:val="0"/>
                <w:sz w:val="22"/>
                <w:lang w:val="en-GB"/>
              </w:rPr>
            </w:pPr>
            <w:r w:rsidRPr="00657A44">
              <w:rPr>
                <w:rFonts w:ascii="Times New Roman" w:eastAsia="新細明體" w:hAnsi="Times New Roman" w:cs="Times New Roman"/>
                <w:color w:val="000000"/>
                <w:kern w:val="0"/>
                <w:sz w:val="20"/>
                <w:szCs w:val="20"/>
                <w:lang w:val="en-GB"/>
              </w:rPr>
              <w:t>Do not define group-based L1-RSRP measurement accuracy requirements unless the requirements are applicable only when t</w:t>
            </w:r>
            <w:r w:rsidRPr="00657A44">
              <w:rPr>
                <w:rFonts w:ascii="Times New Roman" w:eastAsia="新細明體" w:hAnsi="Times New Roman" w:cs="Times New Roman"/>
                <w:kern w:val="0"/>
                <w:sz w:val="20"/>
                <w:szCs w:val="20"/>
                <w:lang w:val="en-GB"/>
              </w:rPr>
              <w:t>here are negligible mutual interferences a</w:t>
            </w:r>
            <w:r w:rsidRPr="00657A44">
              <w:rPr>
                <w:rFonts w:ascii="Times New Roman" w:eastAsia="新細明體" w:hAnsi="Times New Roman" w:cs="Times New Roman"/>
                <w:color w:val="000000"/>
                <w:kern w:val="0"/>
                <w:sz w:val="20"/>
                <w:szCs w:val="20"/>
                <w:lang w:val="en-GB"/>
              </w:rPr>
              <w:t>cross different pair of Tx-Rx beams.</w:t>
            </w:r>
          </w:p>
        </w:tc>
      </w:tr>
    </w:tbl>
    <w:p w14:paraId="2DF1CB4D" w14:textId="3F202528" w:rsidR="008F40F5" w:rsidRDefault="008F40F5" w:rsidP="008F40F5">
      <w:pPr>
        <w:spacing w:before="100" w:beforeAutospacing="1" w:after="100" w:afterAutospacing="1"/>
        <w:jc w:val="both"/>
        <w:rPr>
          <w:rFonts w:eastAsia="新細明體"/>
          <w:szCs w:val="24"/>
          <w:lang w:val="en-GB"/>
        </w:rPr>
      </w:pPr>
      <w:r>
        <w:rPr>
          <w:rFonts w:eastAsia="新細明體"/>
          <w:szCs w:val="24"/>
          <w:lang w:val="en-GB"/>
        </w:rPr>
        <w:t xml:space="preserve">For issue 2-10, we support option 1a, 1b and 1c to reuse the legacy accuracy requirement in clause 10.1.20 of TS 38.133. </w:t>
      </w:r>
      <w:r w:rsidR="00B45199">
        <w:rPr>
          <w:rFonts w:eastAsia="新細明體"/>
          <w:szCs w:val="24"/>
          <w:lang w:val="en-GB"/>
        </w:rPr>
        <w:t xml:space="preserve">In our understanding, UE’s RF components and baseband RSRP estimation algorithm </w:t>
      </w:r>
      <w:proofErr w:type="gramStart"/>
      <w:r w:rsidR="00B45199">
        <w:rPr>
          <w:rFonts w:eastAsia="新細明體"/>
          <w:szCs w:val="24"/>
          <w:lang w:val="en-GB"/>
        </w:rPr>
        <w:t>are</w:t>
      </w:r>
      <w:proofErr w:type="gramEnd"/>
      <w:r w:rsidR="00B45199">
        <w:rPr>
          <w:rFonts w:eastAsia="新細明體"/>
          <w:szCs w:val="24"/>
          <w:lang w:val="en-GB"/>
        </w:rPr>
        <w:t xml:space="preserve"> the same regardless UE is operating under single or multiple Rx model. </w:t>
      </w:r>
      <w:r>
        <w:rPr>
          <w:rFonts w:eastAsia="新細明體"/>
          <w:szCs w:val="24"/>
          <w:lang w:val="en-GB"/>
        </w:rPr>
        <w:t>The only extra thing to do is probably adding a clarification for multi-RX chain L1-RSRP accuracy requirement and apply for FR2-1.</w:t>
      </w:r>
    </w:p>
    <w:p w14:paraId="30110571" w14:textId="5812E612" w:rsidR="008F40F5" w:rsidRDefault="008F40F5" w:rsidP="008F40F5">
      <w:pPr>
        <w:pStyle w:val="Caption"/>
        <w:rPr>
          <w:sz w:val="24"/>
          <w:szCs w:val="24"/>
        </w:rPr>
      </w:pPr>
      <w:bookmarkStart w:id="3" w:name="_Ref158475042"/>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CD3FD5">
        <w:rPr>
          <w:noProof/>
          <w:sz w:val="24"/>
          <w:szCs w:val="24"/>
        </w:rPr>
        <w:t>1</w:t>
      </w:r>
      <w:r w:rsidRPr="00D158F5">
        <w:rPr>
          <w:sz w:val="24"/>
          <w:szCs w:val="24"/>
        </w:rPr>
        <w:fldChar w:fldCharType="end"/>
      </w:r>
      <w:r w:rsidRPr="00D158F5">
        <w:rPr>
          <w:sz w:val="24"/>
          <w:szCs w:val="24"/>
        </w:rPr>
        <w:t xml:space="preserve">: </w:t>
      </w:r>
      <w:r>
        <w:rPr>
          <w:sz w:val="24"/>
          <w:szCs w:val="24"/>
        </w:rPr>
        <w:t xml:space="preserve">Legacy accuracy requirements </w:t>
      </w:r>
      <w:r w:rsidRPr="0088697A">
        <w:rPr>
          <w:sz w:val="24"/>
          <w:szCs w:val="24"/>
        </w:rPr>
        <w:t>in the clause 10.1.20 of TS 38.133</w:t>
      </w:r>
      <w:r>
        <w:rPr>
          <w:sz w:val="24"/>
          <w:szCs w:val="24"/>
        </w:rPr>
        <w:t xml:space="preserve"> apply to multi-Rx UE</w:t>
      </w:r>
      <w:r w:rsidR="008947A4">
        <w:rPr>
          <w:sz w:val="24"/>
          <w:szCs w:val="24"/>
        </w:rPr>
        <w:t>s</w:t>
      </w:r>
      <w:r>
        <w:rPr>
          <w:sz w:val="24"/>
          <w:szCs w:val="24"/>
        </w:rPr>
        <w:t>.</w:t>
      </w:r>
      <w:bookmarkEnd w:id="3"/>
    </w:p>
    <w:p w14:paraId="54ACE470" w14:textId="07C476C1" w:rsidR="00030833" w:rsidRDefault="00030833" w:rsidP="00030833">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597F0EF3"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4" w:name="_Hlk94866332"/>
    </w:p>
    <w:p w14:paraId="0509997A" w14:textId="77777777" w:rsidR="006F2299" w:rsidRDefault="006F2299" w:rsidP="00D44C67">
      <w:pPr>
        <w:adjustRightInd w:val="0"/>
        <w:snapToGrid w:val="0"/>
        <w:rPr>
          <w:rFonts w:eastAsia="新細明體"/>
          <w:b/>
          <w:bCs/>
          <w:szCs w:val="24"/>
          <w:lang w:val="en-GB"/>
        </w:rPr>
      </w:pPr>
    </w:p>
    <w:p w14:paraId="7A6D66C7" w14:textId="28D3D28D" w:rsidR="00DE2BD2" w:rsidRPr="00A47BEC" w:rsidRDefault="00A47BEC" w:rsidP="00D44C67">
      <w:pPr>
        <w:adjustRightInd w:val="0"/>
        <w:snapToGrid w:val="0"/>
        <w:rPr>
          <w:rFonts w:eastAsia="新細明體"/>
          <w:b/>
          <w:bCs/>
          <w:szCs w:val="24"/>
          <w:lang w:val="en-GB"/>
        </w:rPr>
      </w:pPr>
      <w:r w:rsidRPr="00A47BEC">
        <w:rPr>
          <w:rFonts w:eastAsia="新細明體"/>
          <w:b/>
          <w:bCs/>
          <w:szCs w:val="24"/>
          <w:lang w:val="en-GB"/>
        </w:rPr>
        <w:fldChar w:fldCharType="begin"/>
      </w:r>
      <w:r w:rsidRPr="00A47BEC">
        <w:rPr>
          <w:rFonts w:eastAsia="新細明體"/>
          <w:b/>
          <w:bCs/>
          <w:szCs w:val="24"/>
          <w:lang w:val="en-GB"/>
        </w:rPr>
        <w:instrText xml:space="preserve"> REF _Ref158475042 \h </w:instrText>
      </w:r>
      <w:r>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CD3FD5" w:rsidRPr="00CD3FD5">
        <w:rPr>
          <w:rFonts w:eastAsia="新細明體"/>
          <w:b/>
          <w:bCs/>
          <w:szCs w:val="24"/>
          <w:lang w:val="en-GB"/>
        </w:rPr>
        <w:t>Proposal 1: Legacy accuracy requirements in the clause 10.1.20 of TS 38.133 apply to multi-Rx UEs.</w:t>
      </w:r>
      <w:r w:rsidRPr="00A47BEC">
        <w:rPr>
          <w:rFonts w:eastAsia="新細明體"/>
          <w:b/>
          <w:bCs/>
          <w:szCs w:val="24"/>
          <w:lang w:val="en-GB"/>
        </w:rPr>
        <w:fldChar w:fldCharType="end"/>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977FE8D" w14:textId="492299EA" w:rsidR="00F024F8" w:rsidRPr="00F024F8" w:rsidRDefault="00F024F8" w:rsidP="00F024F8">
      <w:pPr>
        <w:pStyle w:val="Caption"/>
        <w:numPr>
          <w:ilvl w:val="0"/>
          <w:numId w:val="5"/>
        </w:numPr>
        <w:rPr>
          <w:rFonts w:cstheme="minorHAnsi"/>
          <w:b w:val="0"/>
          <w:sz w:val="24"/>
          <w:szCs w:val="24"/>
          <w:lang w:val="en-GB" w:eastAsia="en-US"/>
        </w:rPr>
      </w:pPr>
      <w:bookmarkStart w:id="5" w:name="_Hlk141011611"/>
      <w:bookmarkStart w:id="6" w:name="_Ref141290370"/>
      <w:bookmarkEnd w:id="4"/>
      <w:r w:rsidRPr="00F024F8">
        <w:rPr>
          <w:rFonts w:cstheme="minorHAnsi"/>
          <w:b w:val="0"/>
          <w:sz w:val="24"/>
          <w:szCs w:val="24"/>
          <w:lang w:val="en-GB" w:eastAsia="en-US"/>
        </w:rPr>
        <w:t>R4-2403560 WF on core maintenance and performance part for multi-RX, Vivo, Ericsson RAN4 #1</w:t>
      </w:r>
      <w:bookmarkEnd w:id="5"/>
      <w:bookmarkEnd w:id="6"/>
      <w:r w:rsidRPr="00F024F8">
        <w:rPr>
          <w:rFonts w:cstheme="minorHAnsi"/>
          <w:b w:val="0"/>
          <w:sz w:val="24"/>
          <w:szCs w:val="24"/>
          <w:lang w:val="en-GB" w:eastAsia="en-US"/>
        </w:rPr>
        <w:t>10</w:t>
      </w:r>
    </w:p>
    <w:sectPr w:rsidR="00F024F8" w:rsidRPr="00F024F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8DD4" w14:textId="77777777" w:rsidR="00154A4D" w:rsidRDefault="00154A4D">
      <w:r>
        <w:separator/>
      </w:r>
    </w:p>
  </w:endnote>
  <w:endnote w:type="continuationSeparator" w:id="0">
    <w:p w14:paraId="5F9496EA" w14:textId="77777777" w:rsidR="00154A4D" w:rsidRDefault="0015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131F" w14:textId="77777777" w:rsidR="00154A4D" w:rsidRDefault="00154A4D">
      <w:r>
        <w:separator/>
      </w:r>
    </w:p>
  </w:footnote>
  <w:footnote w:type="continuationSeparator" w:id="0">
    <w:p w14:paraId="4738EB66" w14:textId="77777777" w:rsidR="00154A4D" w:rsidRDefault="00154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21D"/>
    <w:multiLevelType w:val="hybridMultilevel"/>
    <w:tmpl w:val="BC1AA4B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C24"/>
    <w:multiLevelType w:val="multilevel"/>
    <w:tmpl w:val="C400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F4817"/>
    <w:multiLevelType w:val="hybridMultilevel"/>
    <w:tmpl w:val="51D82F08"/>
    <w:lvl w:ilvl="0" w:tplc="7B4CAEA0">
      <w:start w:val="1"/>
      <w:numFmt w:val="bullet"/>
      <w:lvlText w:val="-"/>
      <w:lvlJc w:val="left"/>
      <w:pPr>
        <w:ind w:left="764" w:hanging="480"/>
      </w:pPr>
      <w:rPr>
        <w:rFonts w:ascii="Times New Roman" w:eastAsia="SimSun" w:hAnsi="Times New Roman" w:cs="Times New Roman" w:hint="default"/>
      </w:rPr>
    </w:lvl>
    <w:lvl w:ilvl="1" w:tplc="7B4CAEA0">
      <w:start w:val="1"/>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F261128"/>
    <w:multiLevelType w:val="hybridMultilevel"/>
    <w:tmpl w:val="9F68DEB4"/>
    <w:lvl w:ilvl="0" w:tplc="B7DE52EA">
      <w:start w:val="9"/>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5646F3"/>
    <w:multiLevelType w:val="multilevel"/>
    <w:tmpl w:val="5636A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887417"/>
    <w:multiLevelType w:val="multilevel"/>
    <w:tmpl w:val="B6E01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D54B0D"/>
    <w:multiLevelType w:val="multilevel"/>
    <w:tmpl w:val="F32A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B4019E"/>
    <w:multiLevelType w:val="multilevel"/>
    <w:tmpl w:val="55DE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69320E"/>
    <w:multiLevelType w:val="hybridMultilevel"/>
    <w:tmpl w:val="5492FC58"/>
    <w:lvl w:ilvl="0" w:tplc="9B0A457A">
      <w:start w:val="8"/>
      <w:numFmt w:val="bullet"/>
      <w:lvlText w:val="-"/>
      <w:lvlJc w:val="left"/>
      <w:pPr>
        <w:ind w:left="764" w:hanging="480"/>
      </w:pPr>
      <w:rPr>
        <w:rFonts w:ascii="Times New Roman" w:eastAsia="SimSu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5765564"/>
    <w:multiLevelType w:val="multilevel"/>
    <w:tmpl w:val="5A76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DC3192"/>
    <w:multiLevelType w:val="hybridMultilevel"/>
    <w:tmpl w:val="DC52B6AC"/>
    <w:lvl w:ilvl="0" w:tplc="46A474B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56F41276"/>
    <w:multiLevelType w:val="hybridMultilevel"/>
    <w:tmpl w:val="26420770"/>
    <w:lvl w:ilvl="0" w:tplc="80FCADF6">
      <w:start w:val="2"/>
      <w:numFmt w:val="bullet"/>
      <w:lvlText w:val="-"/>
      <w:lvlJc w:val="left"/>
      <w:pPr>
        <w:ind w:left="764" w:hanging="480"/>
      </w:pPr>
      <w:rPr>
        <w:rFonts w:ascii="Arial" w:eastAsia="Times New Roman" w:hAnsi="Arial" w:cs="Aria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5F4AD9"/>
    <w:multiLevelType w:val="multilevel"/>
    <w:tmpl w:val="4C9A0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6E639E6"/>
    <w:multiLevelType w:val="hybridMultilevel"/>
    <w:tmpl w:val="C18E17C4"/>
    <w:lvl w:ilvl="0" w:tplc="D6F4D13E">
      <w:start w:val="9"/>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78C071D"/>
    <w:multiLevelType w:val="multilevel"/>
    <w:tmpl w:val="1FBC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9812753">
    <w:abstractNumId w:val="18"/>
  </w:num>
  <w:num w:numId="2" w16cid:durableId="1292592527">
    <w:abstractNumId w:val="8"/>
  </w:num>
  <w:num w:numId="3" w16cid:durableId="186918117">
    <w:abstractNumId w:val="2"/>
  </w:num>
  <w:num w:numId="4" w16cid:durableId="841511620">
    <w:abstractNumId w:val="1"/>
  </w:num>
  <w:num w:numId="5" w16cid:durableId="1817650434">
    <w:abstractNumId w:val="5"/>
  </w:num>
  <w:num w:numId="6" w16cid:durableId="1811049428">
    <w:abstractNumId w:val="16"/>
  </w:num>
  <w:num w:numId="7" w16cid:durableId="186214949">
    <w:abstractNumId w:val="15"/>
  </w:num>
  <w:num w:numId="8" w16cid:durableId="86578267">
    <w:abstractNumId w:val="4"/>
  </w:num>
  <w:num w:numId="9" w16cid:durableId="101731084">
    <w:abstractNumId w:val="14"/>
  </w:num>
  <w:num w:numId="10" w16cid:durableId="257832241">
    <w:abstractNumId w:val="14"/>
  </w:num>
  <w:num w:numId="11" w16cid:durableId="301815300">
    <w:abstractNumId w:val="9"/>
  </w:num>
  <w:num w:numId="12" w16cid:durableId="661616733">
    <w:abstractNumId w:val="13"/>
  </w:num>
  <w:num w:numId="13" w16cid:durableId="102304506">
    <w:abstractNumId w:val="17"/>
  </w:num>
  <w:num w:numId="14" w16cid:durableId="980503982">
    <w:abstractNumId w:val="3"/>
  </w:num>
  <w:num w:numId="15" w16cid:durableId="1350525290">
    <w:abstractNumId w:val="10"/>
  </w:num>
  <w:num w:numId="16" w16cid:durableId="451174645">
    <w:abstractNumId w:val="15"/>
  </w:num>
  <w:num w:numId="17" w16cid:durableId="1528256537">
    <w:abstractNumId w:val="20"/>
  </w:num>
  <w:num w:numId="18" w16cid:durableId="409039084">
    <w:abstractNumId w:val="14"/>
  </w:num>
  <w:num w:numId="19" w16cid:durableId="790900837">
    <w:abstractNumId w:val="10"/>
  </w:num>
  <w:num w:numId="20" w16cid:durableId="1960331380">
    <w:abstractNumId w:val="14"/>
  </w:num>
  <w:num w:numId="21" w16cid:durableId="23480542">
    <w:abstractNumId w:val="6"/>
  </w:num>
  <w:num w:numId="22" w16cid:durableId="819349886">
    <w:abstractNumId w:val="4"/>
  </w:num>
  <w:num w:numId="23" w16cid:durableId="421877544">
    <w:abstractNumId w:val="12"/>
  </w:num>
  <w:num w:numId="24" w16cid:durableId="183130085">
    <w:abstractNumId w:val="10"/>
  </w:num>
  <w:num w:numId="25" w16cid:durableId="1390496939">
    <w:abstractNumId w:val="19"/>
  </w:num>
  <w:num w:numId="26" w16cid:durableId="1063681671">
    <w:abstractNumId w:val="0"/>
  </w:num>
  <w:num w:numId="27" w16cid:durableId="211892773">
    <w:abstractNumId w:val="7"/>
  </w:num>
  <w:num w:numId="28" w16cid:durableId="173535559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2D4C"/>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7AB"/>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D61"/>
    <w:rsid w:val="00027F35"/>
    <w:rsid w:val="000302FF"/>
    <w:rsid w:val="00030833"/>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2D68"/>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18E"/>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6BD"/>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455"/>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E4A"/>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1D3"/>
    <w:rsid w:val="000E3216"/>
    <w:rsid w:val="000E36BB"/>
    <w:rsid w:val="000E3A8A"/>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4ED9"/>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44A"/>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731"/>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437"/>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A4D"/>
    <w:rsid w:val="00154BC6"/>
    <w:rsid w:val="00154C3B"/>
    <w:rsid w:val="00155040"/>
    <w:rsid w:val="0015512C"/>
    <w:rsid w:val="0015541C"/>
    <w:rsid w:val="00155797"/>
    <w:rsid w:val="00155BC8"/>
    <w:rsid w:val="00156058"/>
    <w:rsid w:val="00156A64"/>
    <w:rsid w:val="00156F9B"/>
    <w:rsid w:val="00156FDF"/>
    <w:rsid w:val="001573CB"/>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D1"/>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57A"/>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AEA"/>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BC"/>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97DA0"/>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DC9"/>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66F"/>
    <w:rsid w:val="001B1A58"/>
    <w:rsid w:val="001B1B6E"/>
    <w:rsid w:val="001B2031"/>
    <w:rsid w:val="001B286C"/>
    <w:rsid w:val="001B290F"/>
    <w:rsid w:val="001B3AFA"/>
    <w:rsid w:val="001B4146"/>
    <w:rsid w:val="001B434B"/>
    <w:rsid w:val="001B479F"/>
    <w:rsid w:val="001B47A0"/>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4E7"/>
    <w:rsid w:val="001F1EFE"/>
    <w:rsid w:val="001F29A4"/>
    <w:rsid w:val="001F2A47"/>
    <w:rsid w:val="001F2C39"/>
    <w:rsid w:val="001F3096"/>
    <w:rsid w:val="001F3227"/>
    <w:rsid w:val="001F3610"/>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36"/>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4F0"/>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E37"/>
    <w:rsid w:val="00264F32"/>
    <w:rsid w:val="00265292"/>
    <w:rsid w:val="002652D5"/>
    <w:rsid w:val="00265645"/>
    <w:rsid w:val="00265943"/>
    <w:rsid w:val="00265A60"/>
    <w:rsid w:val="00265A76"/>
    <w:rsid w:val="00265E93"/>
    <w:rsid w:val="00265FB1"/>
    <w:rsid w:val="002661DA"/>
    <w:rsid w:val="00266830"/>
    <w:rsid w:val="002669F1"/>
    <w:rsid w:val="00266D3D"/>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5C7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0FB"/>
    <w:rsid w:val="002B554F"/>
    <w:rsid w:val="002B5565"/>
    <w:rsid w:val="002B5808"/>
    <w:rsid w:val="002B606E"/>
    <w:rsid w:val="002B6194"/>
    <w:rsid w:val="002B65C3"/>
    <w:rsid w:val="002B6850"/>
    <w:rsid w:val="002B6DF5"/>
    <w:rsid w:val="002B70BB"/>
    <w:rsid w:val="002B7532"/>
    <w:rsid w:val="002B76BE"/>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419"/>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AD8"/>
    <w:rsid w:val="002E4C0D"/>
    <w:rsid w:val="002E4F55"/>
    <w:rsid w:val="002E50E8"/>
    <w:rsid w:val="002E52EE"/>
    <w:rsid w:val="002E5454"/>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3FDE"/>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3F"/>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0B46"/>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055"/>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19B"/>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07"/>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780"/>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4AAB"/>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38A"/>
    <w:rsid w:val="003F2578"/>
    <w:rsid w:val="003F354F"/>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17"/>
    <w:rsid w:val="004C079A"/>
    <w:rsid w:val="004C0844"/>
    <w:rsid w:val="004C0AAD"/>
    <w:rsid w:val="004C0EFB"/>
    <w:rsid w:val="004C0F44"/>
    <w:rsid w:val="004C12A0"/>
    <w:rsid w:val="004C1465"/>
    <w:rsid w:val="004C14D0"/>
    <w:rsid w:val="004C1698"/>
    <w:rsid w:val="004C1BCD"/>
    <w:rsid w:val="004C1D4F"/>
    <w:rsid w:val="004C2137"/>
    <w:rsid w:val="004C2780"/>
    <w:rsid w:val="004C2FC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ACD"/>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6D8"/>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89F"/>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042"/>
    <w:rsid w:val="00502410"/>
    <w:rsid w:val="00502BBA"/>
    <w:rsid w:val="00503196"/>
    <w:rsid w:val="005032CB"/>
    <w:rsid w:val="00503583"/>
    <w:rsid w:val="00503591"/>
    <w:rsid w:val="005036E5"/>
    <w:rsid w:val="00503B7C"/>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AAA"/>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1FF9"/>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51DE"/>
    <w:rsid w:val="005961CA"/>
    <w:rsid w:val="00596310"/>
    <w:rsid w:val="0059655C"/>
    <w:rsid w:val="0059694C"/>
    <w:rsid w:val="00596A67"/>
    <w:rsid w:val="00597140"/>
    <w:rsid w:val="00597466"/>
    <w:rsid w:val="005977CC"/>
    <w:rsid w:val="00597916"/>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1F13"/>
    <w:rsid w:val="005B205C"/>
    <w:rsid w:val="005B2177"/>
    <w:rsid w:val="005B22E6"/>
    <w:rsid w:val="005B29D5"/>
    <w:rsid w:val="005B2BA2"/>
    <w:rsid w:val="005B3184"/>
    <w:rsid w:val="005B31EE"/>
    <w:rsid w:val="005B33C2"/>
    <w:rsid w:val="005B37D5"/>
    <w:rsid w:val="005B3843"/>
    <w:rsid w:val="005B41C2"/>
    <w:rsid w:val="005B4262"/>
    <w:rsid w:val="005B47F7"/>
    <w:rsid w:val="005B485A"/>
    <w:rsid w:val="005B4EDE"/>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339"/>
    <w:rsid w:val="005D5435"/>
    <w:rsid w:val="005D5612"/>
    <w:rsid w:val="005D62A1"/>
    <w:rsid w:val="005D6843"/>
    <w:rsid w:val="005D6AE3"/>
    <w:rsid w:val="005D6ECB"/>
    <w:rsid w:val="005D6FFA"/>
    <w:rsid w:val="005D74E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6B3"/>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B1B"/>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2FA2"/>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C50"/>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A44"/>
    <w:rsid w:val="00657F49"/>
    <w:rsid w:val="0066005F"/>
    <w:rsid w:val="00660341"/>
    <w:rsid w:val="00660B4F"/>
    <w:rsid w:val="00661319"/>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97BF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1AE0"/>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3F4A"/>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94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299"/>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12A"/>
    <w:rsid w:val="00710522"/>
    <w:rsid w:val="0071077E"/>
    <w:rsid w:val="00710DE8"/>
    <w:rsid w:val="00710FA3"/>
    <w:rsid w:val="007110E5"/>
    <w:rsid w:val="00711B8B"/>
    <w:rsid w:val="00711E13"/>
    <w:rsid w:val="007125F0"/>
    <w:rsid w:val="00712636"/>
    <w:rsid w:val="00712739"/>
    <w:rsid w:val="0071276A"/>
    <w:rsid w:val="00712D34"/>
    <w:rsid w:val="00712EDA"/>
    <w:rsid w:val="00712F91"/>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62D"/>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BB7"/>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7B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D41"/>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D5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39"/>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2FB6"/>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8D6"/>
    <w:rsid w:val="00791995"/>
    <w:rsid w:val="00791C9B"/>
    <w:rsid w:val="007920E8"/>
    <w:rsid w:val="00792841"/>
    <w:rsid w:val="00792BF7"/>
    <w:rsid w:val="007931B4"/>
    <w:rsid w:val="0079346B"/>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2"/>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92F"/>
    <w:rsid w:val="008147B9"/>
    <w:rsid w:val="008148C7"/>
    <w:rsid w:val="00814990"/>
    <w:rsid w:val="008149BD"/>
    <w:rsid w:val="00814A98"/>
    <w:rsid w:val="00814CB0"/>
    <w:rsid w:val="0081545F"/>
    <w:rsid w:val="00815481"/>
    <w:rsid w:val="008154D1"/>
    <w:rsid w:val="00815692"/>
    <w:rsid w:val="00815A93"/>
    <w:rsid w:val="00815C5B"/>
    <w:rsid w:val="008163A6"/>
    <w:rsid w:val="0081669E"/>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481"/>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0F3"/>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4EF"/>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53F"/>
    <w:rsid w:val="00862CF7"/>
    <w:rsid w:val="00863105"/>
    <w:rsid w:val="008631E6"/>
    <w:rsid w:val="008632DA"/>
    <w:rsid w:val="00863361"/>
    <w:rsid w:val="00863B4A"/>
    <w:rsid w:val="00863C49"/>
    <w:rsid w:val="00864277"/>
    <w:rsid w:val="00864B95"/>
    <w:rsid w:val="008653C2"/>
    <w:rsid w:val="0086554F"/>
    <w:rsid w:val="00865BE6"/>
    <w:rsid w:val="00865D70"/>
    <w:rsid w:val="00865D8A"/>
    <w:rsid w:val="00865F81"/>
    <w:rsid w:val="00866393"/>
    <w:rsid w:val="0086656A"/>
    <w:rsid w:val="008667E0"/>
    <w:rsid w:val="00866EF8"/>
    <w:rsid w:val="0086727B"/>
    <w:rsid w:val="0086729B"/>
    <w:rsid w:val="00867427"/>
    <w:rsid w:val="0086764F"/>
    <w:rsid w:val="00867785"/>
    <w:rsid w:val="00867BF3"/>
    <w:rsid w:val="00870085"/>
    <w:rsid w:val="00870D7D"/>
    <w:rsid w:val="00870F2A"/>
    <w:rsid w:val="008713C0"/>
    <w:rsid w:val="00871892"/>
    <w:rsid w:val="00871913"/>
    <w:rsid w:val="008719CF"/>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7A"/>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C2B"/>
    <w:rsid w:val="00893D89"/>
    <w:rsid w:val="0089476B"/>
    <w:rsid w:val="008947A4"/>
    <w:rsid w:val="00894C2D"/>
    <w:rsid w:val="00894DC8"/>
    <w:rsid w:val="008951CB"/>
    <w:rsid w:val="00895604"/>
    <w:rsid w:val="00895ADA"/>
    <w:rsid w:val="00895B51"/>
    <w:rsid w:val="00895C44"/>
    <w:rsid w:val="008963A8"/>
    <w:rsid w:val="008967BE"/>
    <w:rsid w:val="00896CD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B3"/>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94C"/>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0F5"/>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5EBD"/>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9BE"/>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48B"/>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27B"/>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000"/>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0DB"/>
    <w:rsid w:val="009779AE"/>
    <w:rsid w:val="00977C1F"/>
    <w:rsid w:val="00977D00"/>
    <w:rsid w:val="00977E14"/>
    <w:rsid w:val="009802A7"/>
    <w:rsid w:val="00980694"/>
    <w:rsid w:val="009808A3"/>
    <w:rsid w:val="009808EF"/>
    <w:rsid w:val="0098096E"/>
    <w:rsid w:val="00980FF5"/>
    <w:rsid w:val="009810E6"/>
    <w:rsid w:val="00981F78"/>
    <w:rsid w:val="009826E3"/>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1CF8"/>
    <w:rsid w:val="00992197"/>
    <w:rsid w:val="00992218"/>
    <w:rsid w:val="009922D5"/>
    <w:rsid w:val="00992349"/>
    <w:rsid w:val="0099246D"/>
    <w:rsid w:val="0099272B"/>
    <w:rsid w:val="00992A99"/>
    <w:rsid w:val="00992D26"/>
    <w:rsid w:val="00992DD7"/>
    <w:rsid w:val="00992E41"/>
    <w:rsid w:val="009931B3"/>
    <w:rsid w:val="009934A9"/>
    <w:rsid w:val="009941EC"/>
    <w:rsid w:val="0099436C"/>
    <w:rsid w:val="009943A6"/>
    <w:rsid w:val="0099444F"/>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B3F"/>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785"/>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031"/>
    <w:rsid w:val="009E035C"/>
    <w:rsid w:val="009E0411"/>
    <w:rsid w:val="009E04A7"/>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1D16"/>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94F"/>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EC"/>
    <w:rsid w:val="00A47F8F"/>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4AE9"/>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13"/>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358"/>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18B"/>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63C"/>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2F47"/>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703"/>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2F04"/>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2F8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CC9"/>
    <w:rsid w:val="00B31EE1"/>
    <w:rsid w:val="00B31FBE"/>
    <w:rsid w:val="00B32677"/>
    <w:rsid w:val="00B32A3A"/>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ED9"/>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199"/>
    <w:rsid w:val="00B45C35"/>
    <w:rsid w:val="00B464B1"/>
    <w:rsid w:val="00B46591"/>
    <w:rsid w:val="00B46984"/>
    <w:rsid w:val="00B46D35"/>
    <w:rsid w:val="00B4715C"/>
    <w:rsid w:val="00B47773"/>
    <w:rsid w:val="00B47A1C"/>
    <w:rsid w:val="00B47AFE"/>
    <w:rsid w:val="00B47E98"/>
    <w:rsid w:val="00B47ECE"/>
    <w:rsid w:val="00B506AA"/>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2D5"/>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36C"/>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139"/>
    <w:rsid w:val="00B975FF"/>
    <w:rsid w:val="00B97909"/>
    <w:rsid w:val="00B97971"/>
    <w:rsid w:val="00B97BCF"/>
    <w:rsid w:val="00BA0AD9"/>
    <w:rsid w:val="00BA0EA2"/>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B7A"/>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664"/>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77B"/>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6A"/>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04"/>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265"/>
    <w:rsid w:val="00C26918"/>
    <w:rsid w:val="00C26B37"/>
    <w:rsid w:val="00C26D4D"/>
    <w:rsid w:val="00C26D51"/>
    <w:rsid w:val="00C26E8C"/>
    <w:rsid w:val="00C2744D"/>
    <w:rsid w:val="00C27FF2"/>
    <w:rsid w:val="00C306DF"/>
    <w:rsid w:val="00C30730"/>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289"/>
    <w:rsid w:val="00C47732"/>
    <w:rsid w:val="00C47A87"/>
    <w:rsid w:val="00C5007A"/>
    <w:rsid w:val="00C500FF"/>
    <w:rsid w:val="00C50416"/>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3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98"/>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2E"/>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D05"/>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0B32"/>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247"/>
    <w:rsid w:val="00CC1594"/>
    <w:rsid w:val="00CC19A9"/>
    <w:rsid w:val="00CC1A15"/>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4AB"/>
    <w:rsid w:val="00CD26DF"/>
    <w:rsid w:val="00CD28D7"/>
    <w:rsid w:val="00CD2C6A"/>
    <w:rsid w:val="00CD2E99"/>
    <w:rsid w:val="00CD2F6B"/>
    <w:rsid w:val="00CD32F6"/>
    <w:rsid w:val="00CD356A"/>
    <w:rsid w:val="00CD3739"/>
    <w:rsid w:val="00CD3911"/>
    <w:rsid w:val="00CD3C78"/>
    <w:rsid w:val="00CD3FD5"/>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0A6"/>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9B"/>
    <w:rsid w:val="00D077BC"/>
    <w:rsid w:val="00D07817"/>
    <w:rsid w:val="00D07CF4"/>
    <w:rsid w:val="00D07DFC"/>
    <w:rsid w:val="00D1021A"/>
    <w:rsid w:val="00D105DB"/>
    <w:rsid w:val="00D1077E"/>
    <w:rsid w:val="00D10919"/>
    <w:rsid w:val="00D10BD4"/>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25"/>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A89"/>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EB1"/>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4C82"/>
    <w:rsid w:val="00D8514E"/>
    <w:rsid w:val="00D851A4"/>
    <w:rsid w:val="00D85B51"/>
    <w:rsid w:val="00D86067"/>
    <w:rsid w:val="00D86922"/>
    <w:rsid w:val="00D86ADA"/>
    <w:rsid w:val="00D86CFD"/>
    <w:rsid w:val="00D86EB0"/>
    <w:rsid w:val="00D86F02"/>
    <w:rsid w:val="00D87443"/>
    <w:rsid w:val="00D874DF"/>
    <w:rsid w:val="00D87E8B"/>
    <w:rsid w:val="00D9025E"/>
    <w:rsid w:val="00D9048F"/>
    <w:rsid w:val="00D90589"/>
    <w:rsid w:val="00D90743"/>
    <w:rsid w:val="00D90CF0"/>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20A"/>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DE7"/>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B7E07"/>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68B"/>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1DE"/>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CBA"/>
    <w:rsid w:val="00DF5D00"/>
    <w:rsid w:val="00DF633B"/>
    <w:rsid w:val="00DF63EF"/>
    <w:rsid w:val="00DF6962"/>
    <w:rsid w:val="00DF70DF"/>
    <w:rsid w:val="00DF71EE"/>
    <w:rsid w:val="00DF7513"/>
    <w:rsid w:val="00DF7649"/>
    <w:rsid w:val="00DF76D5"/>
    <w:rsid w:val="00DF782F"/>
    <w:rsid w:val="00DF7DE7"/>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466"/>
    <w:rsid w:val="00E12E65"/>
    <w:rsid w:val="00E12E70"/>
    <w:rsid w:val="00E12EA9"/>
    <w:rsid w:val="00E12FD6"/>
    <w:rsid w:val="00E13365"/>
    <w:rsid w:val="00E13521"/>
    <w:rsid w:val="00E138B9"/>
    <w:rsid w:val="00E13993"/>
    <w:rsid w:val="00E13A74"/>
    <w:rsid w:val="00E13B9F"/>
    <w:rsid w:val="00E1480A"/>
    <w:rsid w:val="00E14BDD"/>
    <w:rsid w:val="00E14C6D"/>
    <w:rsid w:val="00E14CCA"/>
    <w:rsid w:val="00E1548B"/>
    <w:rsid w:val="00E15528"/>
    <w:rsid w:val="00E15594"/>
    <w:rsid w:val="00E15728"/>
    <w:rsid w:val="00E15858"/>
    <w:rsid w:val="00E15B37"/>
    <w:rsid w:val="00E15C9D"/>
    <w:rsid w:val="00E15F79"/>
    <w:rsid w:val="00E15FD0"/>
    <w:rsid w:val="00E1602F"/>
    <w:rsid w:val="00E161D9"/>
    <w:rsid w:val="00E164B9"/>
    <w:rsid w:val="00E164C2"/>
    <w:rsid w:val="00E1697B"/>
    <w:rsid w:val="00E16BA0"/>
    <w:rsid w:val="00E16F1D"/>
    <w:rsid w:val="00E17A64"/>
    <w:rsid w:val="00E201E2"/>
    <w:rsid w:val="00E20463"/>
    <w:rsid w:val="00E20485"/>
    <w:rsid w:val="00E214FD"/>
    <w:rsid w:val="00E215B1"/>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4A97"/>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6BB7"/>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90C"/>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D76"/>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2CE2"/>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4F8"/>
    <w:rsid w:val="00F02FBE"/>
    <w:rsid w:val="00F03143"/>
    <w:rsid w:val="00F031E3"/>
    <w:rsid w:val="00F033EF"/>
    <w:rsid w:val="00F03811"/>
    <w:rsid w:val="00F045A5"/>
    <w:rsid w:val="00F0469D"/>
    <w:rsid w:val="00F05AE7"/>
    <w:rsid w:val="00F05B6B"/>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A6"/>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46"/>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4D35"/>
    <w:rsid w:val="00F4537E"/>
    <w:rsid w:val="00F45609"/>
    <w:rsid w:val="00F45BAC"/>
    <w:rsid w:val="00F45D3B"/>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34"/>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429"/>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CE6"/>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8C9"/>
    <w:rsid w:val="00FA09EB"/>
    <w:rsid w:val="00FA0AE0"/>
    <w:rsid w:val="00FA0E79"/>
    <w:rsid w:val="00FA17BF"/>
    <w:rsid w:val="00FA17D1"/>
    <w:rsid w:val="00FA186E"/>
    <w:rsid w:val="00FA1C03"/>
    <w:rsid w:val="00FA1F2F"/>
    <w:rsid w:val="00FA1F61"/>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0B"/>
    <w:rsid w:val="00FB33CA"/>
    <w:rsid w:val="00FB3C04"/>
    <w:rsid w:val="00FB3EF8"/>
    <w:rsid w:val="00FB411A"/>
    <w:rsid w:val="00FB42B3"/>
    <w:rsid w:val="00FB44DC"/>
    <w:rsid w:val="00FB45C7"/>
    <w:rsid w:val="00FB4711"/>
    <w:rsid w:val="00FB484F"/>
    <w:rsid w:val="00FB4AB0"/>
    <w:rsid w:val="00FB4D27"/>
    <w:rsid w:val="00FB4D2A"/>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A0C"/>
    <w:rsid w:val="00FD2E86"/>
    <w:rsid w:val="00FD2F8A"/>
    <w:rsid w:val="00FD3204"/>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1D91"/>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FD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D3F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F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65436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9330352">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8806868">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1823562">
      <w:bodyDiv w:val="1"/>
      <w:marLeft w:val="0"/>
      <w:marRight w:val="0"/>
      <w:marTop w:val="0"/>
      <w:marBottom w:val="0"/>
      <w:divBdr>
        <w:top w:val="none" w:sz="0" w:space="0" w:color="auto"/>
        <w:left w:val="none" w:sz="0" w:space="0" w:color="auto"/>
        <w:bottom w:val="none" w:sz="0" w:space="0" w:color="auto"/>
        <w:right w:val="none" w:sz="0" w:space="0" w:color="auto"/>
      </w:divBdr>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1996199">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41184">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823468">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355260">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54085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355716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54861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1414086">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45901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192999">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274392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55422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596772">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511492">
      <w:bodyDiv w:val="1"/>
      <w:marLeft w:val="0"/>
      <w:marRight w:val="0"/>
      <w:marTop w:val="0"/>
      <w:marBottom w:val="0"/>
      <w:divBdr>
        <w:top w:val="none" w:sz="0" w:space="0" w:color="auto"/>
        <w:left w:val="none" w:sz="0" w:space="0" w:color="auto"/>
        <w:bottom w:val="none" w:sz="0" w:space="0" w:color="auto"/>
        <w:right w:val="none" w:sz="0" w:space="0" w:color="auto"/>
      </w:divBdr>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5669379">
      <w:bodyDiv w:val="1"/>
      <w:marLeft w:val="0"/>
      <w:marRight w:val="0"/>
      <w:marTop w:val="0"/>
      <w:marBottom w:val="0"/>
      <w:divBdr>
        <w:top w:val="none" w:sz="0" w:space="0" w:color="auto"/>
        <w:left w:val="none" w:sz="0" w:space="0" w:color="auto"/>
        <w:bottom w:val="none" w:sz="0" w:space="0" w:color="auto"/>
        <w:right w:val="none" w:sz="0" w:space="0" w:color="auto"/>
      </w:divBdr>
    </w:div>
    <w:div w:id="67072052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00363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563286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04391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3452172">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904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568206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22636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042216">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55588563">
      <w:bodyDiv w:val="1"/>
      <w:marLeft w:val="0"/>
      <w:marRight w:val="0"/>
      <w:marTop w:val="0"/>
      <w:marBottom w:val="0"/>
      <w:divBdr>
        <w:top w:val="none" w:sz="0" w:space="0" w:color="auto"/>
        <w:left w:val="none" w:sz="0" w:space="0" w:color="auto"/>
        <w:bottom w:val="none" w:sz="0" w:space="0" w:color="auto"/>
        <w:right w:val="none" w:sz="0" w:space="0" w:color="auto"/>
      </w:divBdr>
    </w:div>
    <w:div w:id="106302581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290507">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814001">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15578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7675506">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3639346">
      <w:bodyDiv w:val="1"/>
      <w:marLeft w:val="0"/>
      <w:marRight w:val="0"/>
      <w:marTop w:val="0"/>
      <w:marBottom w:val="0"/>
      <w:divBdr>
        <w:top w:val="none" w:sz="0" w:space="0" w:color="auto"/>
        <w:left w:val="none" w:sz="0" w:space="0" w:color="auto"/>
        <w:bottom w:val="none" w:sz="0" w:space="0" w:color="auto"/>
        <w:right w:val="none" w:sz="0" w:space="0" w:color="auto"/>
      </w:divBdr>
    </w:div>
    <w:div w:id="1225069471">
      <w:bodyDiv w:val="1"/>
      <w:marLeft w:val="0"/>
      <w:marRight w:val="0"/>
      <w:marTop w:val="0"/>
      <w:marBottom w:val="0"/>
      <w:divBdr>
        <w:top w:val="none" w:sz="0" w:space="0" w:color="auto"/>
        <w:left w:val="none" w:sz="0" w:space="0" w:color="auto"/>
        <w:bottom w:val="none" w:sz="0" w:space="0" w:color="auto"/>
        <w:right w:val="none" w:sz="0" w:space="0" w:color="auto"/>
      </w:divBdr>
    </w:div>
    <w:div w:id="1237740230">
      <w:bodyDiv w:val="1"/>
      <w:marLeft w:val="0"/>
      <w:marRight w:val="0"/>
      <w:marTop w:val="0"/>
      <w:marBottom w:val="0"/>
      <w:divBdr>
        <w:top w:val="none" w:sz="0" w:space="0" w:color="auto"/>
        <w:left w:val="none" w:sz="0" w:space="0" w:color="auto"/>
        <w:bottom w:val="none" w:sz="0" w:space="0" w:color="auto"/>
        <w:right w:val="none" w:sz="0" w:space="0" w:color="auto"/>
      </w:divBdr>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48923794">
      <w:bodyDiv w:val="1"/>
      <w:marLeft w:val="0"/>
      <w:marRight w:val="0"/>
      <w:marTop w:val="0"/>
      <w:marBottom w:val="0"/>
      <w:divBdr>
        <w:top w:val="none" w:sz="0" w:space="0" w:color="auto"/>
        <w:left w:val="none" w:sz="0" w:space="0" w:color="auto"/>
        <w:bottom w:val="none" w:sz="0" w:space="0" w:color="auto"/>
        <w:right w:val="none" w:sz="0" w:space="0" w:color="auto"/>
      </w:divBdr>
    </w:div>
    <w:div w:id="1261841342">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28584655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399362">
      <w:bodyDiv w:val="1"/>
      <w:marLeft w:val="0"/>
      <w:marRight w:val="0"/>
      <w:marTop w:val="0"/>
      <w:marBottom w:val="0"/>
      <w:divBdr>
        <w:top w:val="none" w:sz="0" w:space="0" w:color="auto"/>
        <w:left w:val="none" w:sz="0" w:space="0" w:color="auto"/>
        <w:bottom w:val="none" w:sz="0" w:space="0" w:color="auto"/>
        <w:right w:val="none" w:sz="0" w:space="0" w:color="auto"/>
      </w:divBdr>
    </w:div>
    <w:div w:id="136794358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5837678">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081665">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75288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137271">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8872908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641046">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737378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805154">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0086402">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387052">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6975154">
      <w:bodyDiv w:val="1"/>
      <w:marLeft w:val="0"/>
      <w:marRight w:val="0"/>
      <w:marTop w:val="0"/>
      <w:marBottom w:val="0"/>
      <w:divBdr>
        <w:top w:val="none" w:sz="0" w:space="0" w:color="auto"/>
        <w:left w:val="none" w:sz="0" w:space="0" w:color="auto"/>
        <w:bottom w:val="none" w:sz="0" w:space="0" w:color="auto"/>
        <w:right w:val="none" w:sz="0" w:space="0" w:color="auto"/>
      </w:divBdr>
    </w:div>
    <w:div w:id="177786593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842974">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1922366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481672">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54004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7452059">
      <w:bodyDiv w:val="1"/>
      <w:marLeft w:val="0"/>
      <w:marRight w:val="0"/>
      <w:marTop w:val="0"/>
      <w:marBottom w:val="0"/>
      <w:divBdr>
        <w:top w:val="none" w:sz="0" w:space="0" w:color="auto"/>
        <w:left w:val="none" w:sz="0" w:space="0" w:color="auto"/>
        <w:bottom w:val="none" w:sz="0" w:space="0" w:color="auto"/>
        <w:right w:val="none" w:sz="0" w:space="0" w:color="auto"/>
      </w:divBdr>
    </w:div>
    <w:div w:id="188902519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6062642">
      <w:bodyDiv w:val="1"/>
      <w:marLeft w:val="0"/>
      <w:marRight w:val="0"/>
      <w:marTop w:val="0"/>
      <w:marBottom w:val="0"/>
      <w:divBdr>
        <w:top w:val="none" w:sz="0" w:space="0" w:color="auto"/>
        <w:left w:val="none" w:sz="0" w:space="0" w:color="auto"/>
        <w:bottom w:val="none" w:sz="0" w:space="0" w:color="auto"/>
        <w:right w:val="none" w:sz="0" w:space="0" w:color="auto"/>
      </w:divBdr>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90267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0017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6662811">
      <w:bodyDiv w:val="1"/>
      <w:marLeft w:val="0"/>
      <w:marRight w:val="0"/>
      <w:marTop w:val="0"/>
      <w:marBottom w:val="0"/>
      <w:divBdr>
        <w:top w:val="none" w:sz="0" w:space="0" w:color="auto"/>
        <w:left w:val="none" w:sz="0" w:space="0" w:color="auto"/>
        <w:bottom w:val="none" w:sz="0" w:space="0" w:color="auto"/>
        <w:right w:val="none" w:sz="0" w:space="0" w:color="auto"/>
      </w:divBdr>
    </w:div>
    <w:div w:id="206105010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561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3657</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152</cp:revision>
  <dcterms:created xsi:type="dcterms:W3CDTF">2024-02-15T05:16:00Z</dcterms:created>
  <dcterms:modified xsi:type="dcterms:W3CDTF">2024-04-08T01:23:00Z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